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 FORMULARUL ZONELOR PRIORITARE PENTRU BIODIVERSITATE </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ROSCI0038ZPB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Ciucaș</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sdt>
        <w:sdtPr>
          <w:id w:val="188561714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sdt>
        <w:sdtPr>
          <w:id w:val="-124689531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sdt>
        <w:sdtPr>
          <w:id w:val="-175763481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r w:rsidDel="00000000" w:rsidR="00000000" w:rsidRPr="00000000">
        <w:rPr>
          <w:rtl w:val="0"/>
        </w:rPr>
      </w:r>
    </w:p>
    <w:p w:rsidR="00000000" w:rsidDel="00000000" w:rsidP="00000000" w:rsidRDefault="00000000" w:rsidRPr="00000000" w14:paraId="0000002D">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F">
            <w:pPr>
              <w:rPr>
                <w:sz w:val="22"/>
                <w:szCs w:val="22"/>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2.164,19</w:t>
      </w: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9,85%</w:t>
      </w:r>
      <w:r w:rsidDel="00000000" w:rsidR="00000000" w:rsidRPr="00000000">
        <w:rPr>
          <w:rtl w:val="0"/>
        </w:rPr>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F">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 Prahova</w:t>
      </w:r>
    </w:p>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sz w:val="22"/>
                <w:szCs w:val="22"/>
              </w:rPr>
            </w:pPr>
            <w:sdt>
              <w:sdtPr>
                <w:id w:val="92940592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9">
            <w:pPr>
              <w:rPr>
                <w:sz w:val="22"/>
                <w:szCs w:val="22"/>
              </w:rPr>
            </w:pPr>
            <w:r w:rsidDel="00000000" w:rsidR="00000000" w:rsidRPr="00000000">
              <w:rPr>
                <w:rtl w:val="0"/>
              </w:rPr>
            </w:r>
          </w:p>
        </w:tc>
        <w:tc>
          <w:tcPr/>
          <w:p w:rsidR="00000000" w:rsidDel="00000000" w:rsidP="00000000" w:rsidRDefault="00000000" w:rsidRPr="00000000" w14:paraId="0000005A">
            <w:pPr>
              <w:rPr>
                <w:sz w:val="22"/>
                <w:szCs w:val="22"/>
              </w:rPr>
            </w:pPr>
            <w:sdt>
              <w:sdtPr>
                <w:id w:val="-156936446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160745234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D">
            <w:pPr>
              <w:rPr>
                <w:sz w:val="22"/>
                <w:szCs w:val="22"/>
              </w:rPr>
            </w:pPr>
            <w:sdt>
              <w:sdtPr>
                <w:id w:val="-9190298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116661006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sdt>
              <w:sdtPr>
                <w:id w:val="169654980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2">
      <w:pPr>
        <w:rPr>
          <w:sz w:val="22"/>
          <w:szCs w:val="22"/>
        </w:rPr>
      </w:pPr>
      <w:r w:rsidDel="00000000" w:rsidR="00000000" w:rsidRPr="00000000">
        <w:rPr>
          <w:rtl w:val="0"/>
        </w:rPr>
      </w:r>
    </w:p>
    <w:p w:rsidR="00000000" w:rsidDel="00000000" w:rsidP="00000000" w:rsidRDefault="00000000" w:rsidRPr="00000000" w14:paraId="00000063">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1.720,79</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8955.0" w:type="dxa"/>
        <w:jc w:val="left"/>
        <w:tblInd w:w="10.0" w:type="dxa"/>
        <w:tblLayout w:type="fixed"/>
        <w:tblLook w:val="0400"/>
      </w:tblPr>
      <w:tblGrid>
        <w:gridCol w:w="2790"/>
        <w:gridCol w:w="6165"/>
        <w:tblGridChange w:id="0">
          <w:tblGrid>
            <w:gridCol w:w="2790"/>
            <w:gridCol w:w="61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br w:type="textWrapping"/>
              <w:t xml:space="preserve">9410 Păduri acidofile de molid (Picea) din etajul montan până în cel alpin (Vaccinio-Piceetea) </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1352* Canis lupus</w:t>
              <w:br w:type="textWrapping"/>
              <w:t xml:space="preserve">1327 Eptesicus serotinus</w:t>
              <w:br w:type="textWrapping"/>
              <w:t xml:space="preserve">1361 Lynx lynx</w:t>
              <w:br w:type="textWrapping"/>
              <w:t xml:space="preserve">1324 Myotis myotis</w:t>
              <w:br w:type="textWrapping"/>
              <w:t xml:space="preserve">1330 Myotis mystacinus</w:t>
              <w:br w:type="textWrapping"/>
              <w:t xml:space="preserve">1354* Ursus arctos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1087* Rosalia alpina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85">
            <w:pPr>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Rule="auto"/>
              <w:jc w:val="both"/>
              <w:rPr>
                <w:b w:val="1"/>
                <w:bCs w:val="1"/>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7">
            <w:pPr>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spacing w:after="0" w:lineRule="auto"/>
              <w:jc w:val="both"/>
              <w:rPr>
                <w:b w:val="1"/>
                <w:bCs w:val="1"/>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9">
            <w:pPr>
              <w:spacing w:after="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A">
            <w:pPr>
              <w:spacing w:after="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B">
            <w:pPr>
              <w:spacing w:after="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C">
            <w:pPr>
              <w:spacing w:after="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D">
            <w:pPr>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E">
            <w:pPr>
              <w:spacing w:after="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F">
            <w:pPr>
              <w:spacing w:after="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0">
            <w:pPr>
              <w:spacing w:after="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1">
            <w:pPr>
              <w:spacing w:after="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2">
            <w:pPr>
              <w:spacing w:after="0" w:lineRule="auto"/>
              <w:jc w:val="both"/>
              <w:rPr>
                <w:b w:val="1"/>
                <w:bCs w:val="1"/>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5">
      <w:pPr>
        <w:rPr>
          <w:sz w:val="22"/>
          <w:szCs w:val="22"/>
        </w:rPr>
      </w:pPr>
      <w:r w:rsidDel="00000000" w:rsidR="00000000" w:rsidRPr="00000000">
        <w:rPr>
          <w:rtl w:val="0"/>
        </w:rPr>
      </w:r>
    </w:p>
    <w:p w:rsidR="00000000" w:rsidDel="00000000" w:rsidP="00000000" w:rsidRDefault="00000000" w:rsidRPr="00000000" w14:paraId="00000096">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9">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A">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67,79</w:t>
      </w:r>
      <w:r w:rsidDel="00000000" w:rsidR="00000000" w:rsidRPr="00000000">
        <w:rPr>
          <w:rtl w:val="0"/>
        </w:rPr>
      </w:r>
    </w:p>
    <w:p w:rsidR="00000000" w:rsidDel="00000000" w:rsidP="00000000" w:rsidRDefault="00000000" w:rsidRPr="00000000" w14:paraId="0000009C">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RONPA0691 Tigăile din Ciucaș</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rtl w:val="0"/>
        </w:rPr>
      </w:r>
    </w:p>
    <w:p w:rsidR="00000000" w:rsidDel="00000000" w:rsidP="00000000" w:rsidRDefault="00000000" w:rsidRPr="00000000" w14:paraId="000000A2">
      <w:pPr>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3345"/>
        <w:gridCol w:w="5610"/>
        <w:tblGridChange w:id="0">
          <w:tblGrid>
            <w:gridCol w:w="3345"/>
            <w:gridCol w:w="56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stâncării:</w:t>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i w:val="1"/>
                <w:iCs w:val="1"/>
                <w:sz w:val="22"/>
                <w:szCs w:val="22"/>
                <w:rtl w:val="0"/>
              </w:rPr>
              <w:t xml:space="preserve">8120 Grohotișuri calcaroase și de șisturi calcaroase din etajele montan și alpin (Thlaspietea rotundifolii)</w:t>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i w:val="1"/>
                <w:iCs w:val="1"/>
                <w:sz w:val="22"/>
                <w:szCs w:val="22"/>
                <w:rtl w:val="0"/>
              </w:rPr>
              <w:t xml:space="preserve">8210 Versanți stâncoși cu vegetație chasmofitică pe roci calcaroase</w:t>
            </w:r>
          </w:p>
          <w:p w:rsidR="00000000" w:rsidDel="00000000" w:rsidP="00000000" w:rsidRDefault="00000000" w:rsidRPr="00000000" w14:paraId="000000A9">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w:t>
            </w:r>
          </w:p>
          <w:p w:rsidR="00000000" w:rsidDel="00000000" w:rsidP="00000000" w:rsidRDefault="00000000" w:rsidRPr="00000000" w14:paraId="000000AA">
            <w:pPr>
              <w:spacing w:after="0" w:lineRule="auto"/>
              <w:jc w:val="both"/>
              <w:rPr>
                <w:i w:val="1"/>
                <w:iCs w:val="1"/>
                <w:sz w:val="22"/>
                <w:szCs w:val="22"/>
              </w:rPr>
            </w:pPr>
            <w:r w:rsidDel="00000000" w:rsidR="00000000" w:rsidRPr="00000000">
              <w:rPr>
                <w:i w:val="1"/>
                <w:iCs w:val="1"/>
                <w:sz w:val="22"/>
                <w:szCs w:val="22"/>
                <w:rtl w:val="0"/>
              </w:rPr>
              <w:t xml:space="preserve">6170 Pajiști calcifile alpine și subalpine</w:t>
            </w:r>
          </w:p>
          <w:p w:rsidR="00000000" w:rsidDel="00000000" w:rsidP="00000000" w:rsidRDefault="00000000" w:rsidRPr="00000000" w14:paraId="000000AB">
            <w:pPr>
              <w:spacing w:after="0" w:lineRule="auto"/>
              <w:jc w:val="both"/>
              <w:rPr>
                <w:i w:val="1"/>
                <w:iCs w:val="1"/>
                <w:sz w:val="22"/>
                <w:szCs w:val="22"/>
              </w:rPr>
            </w:pPr>
            <w:r w:rsidDel="00000000" w:rsidR="00000000" w:rsidRPr="00000000">
              <w:rPr>
                <w:i w:val="1"/>
                <w:iCs w:val="1"/>
                <w:sz w:val="22"/>
                <w:szCs w:val="22"/>
                <w:rtl w:val="0"/>
              </w:rPr>
              <w:t xml:space="preserve">6230* Pajiști montane de Nardus bogate în specii, pe substrate silicioase</w:t>
            </w:r>
          </w:p>
          <w:p w:rsidR="00000000" w:rsidDel="00000000" w:rsidP="00000000" w:rsidRDefault="00000000" w:rsidRPr="00000000" w14:paraId="000000AC">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tufărișuri</w:t>
            </w:r>
          </w:p>
          <w:p w:rsidR="00000000" w:rsidDel="00000000" w:rsidP="00000000" w:rsidRDefault="00000000" w:rsidRPr="00000000" w14:paraId="000000AD">
            <w:pPr>
              <w:spacing w:after="0" w:lineRule="auto"/>
              <w:jc w:val="both"/>
              <w:rPr>
                <w:i w:val="1"/>
                <w:iCs w:val="1"/>
                <w:sz w:val="22"/>
                <w:szCs w:val="22"/>
              </w:rPr>
            </w:pPr>
            <w:r w:rsidDel="00000000" w:rsidR="00000000" w:rsidRPr="00000000">
              <w:rPr>
                <w:i w:val="1"/>
                <w:iCs w:val="1"/>
                <w:sz w:val="22"/>
                <w:szCs w:val="22"/>
                <w:rtl w:val="0"/>
              </w:rPr>
              <w:t xml:space="preserve">4060 Tufărișuri alpine și boreale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b w:val="1"/>
                <w:bCs w:val="1"/>
                <w:sz w:val="22"/>
                <w:szCs w:val="22"/>
              </w:rPr>
            </w:pPr>
            <w:r w:rsidDel="00000000" w:rsidR="00000000" w:rsidRPr="00000000">
              <w:rPr>
                <w:b w:val="1"/>
                <w:bCs w:val="1"/>
                <w:sz w:val="22"/>
                <w:szCs w:val="22"/>
                <w:rtl w:val="0"/>
              </w:rPr>
              <w:t xml:space="preserve">MMamifere:</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 1361 Lynx lynx</w:t>
              <w:br w:type="textWrapping"/>
              <w:t xml:space="preserve"> 1354* Ursus arctos</w:t>
            </w:r>
          </w:p>
          <w:p w:rsidR="00000000" w:rsidDel="00000000" w:rsidP="00000000" w:rsidRDefault="00000000" w:rsidRPr="00000000" w14:paraId="000000B1">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2">
            <w:pPr>
              <w:spacing w:after="0" w:lineRule="auto"/>
              <w:rPr>
                <w:sz w:val="22"/>
                <w:szCs w:val="22"/>
              </w:rPr>
            </w:pPr>
            <w:r w:rsidDel="00000000" w:rsidR="00000000" w:rsidRPr="00000000">
              <w:rPr>
                <w:i w:val="1"/>
                <w:iCs w:val="1"/>
                <w:sz w:val="22"/>
                <w:szCs w:val="22"/>
                <w:rtl w:val="0"/>
              </w:rPr>
              <w:t xml:space="preserve">4070* Campanula serrata</w:t>
            </w: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stâncărie și de grohotișuri</w:t>
            </w:r>
          </w:p>
          <w:p w:rsidR="00000000" w:rsidDel="00000000" w:rsidP="00000000" w:rsidRDefault="00000000" w:rsidRPr="00000000" w14:paraId="000000B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B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C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C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D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 </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4">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E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D">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7">
      <w:pPr>
        <w:rPr>
          <w:sz w:val="22"/>
          <w:szCs w:val="22"/>
        </w:rPr>
      </w:pPr>
      <w:r w:rsidDel="00000000" w:rsidR="00000000" w:rsidRPr="00000000">
        <w:rPr>
          <w:rtl w:val="0"/>
        </w:rPr>
      </w:r>
    </w:p>
    <w:p w:rsidR="00000000" w:rsidDel="00000000" w:rsidP="00000000" w:rsidRDefault="00000000" w:rsidRPr="00000000" w14:paraId="000000F8">
      <w:pPr>
        <w:rPr>
          <w:sz w:val="22"/>
          <w:szCs w:val="22"/>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F9">
      <w:pPr>
        <w:rPr>
          <w:sz w:val="22"/>
          <w:szCs w:val="22"/>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0FB">
      <w:pPr>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FC">
      <w:pPr>
        <w:rPr>
          <w:sz w:val="22"/>
          <w:szCs w:val="22"/>
        </w:rPr>
      </w:pPr>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375,61</w:t>
      </w:r>
      <w:r w:rsidDel="00000000" w:rsidR="00000000" w:rsidRPr="00000000">
        <w:rPr>
          <w:rtl w:val="0"/>
        </w:rPr>
      </w:r>
    </w:p>
    <w:p w:rsidR="00000000" w:rsidDel="00000000" w:rsidP="00000000" w:rsidRDefault="00000000" w:rsidRPr="00000000" w14:paraId="000000FF">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2">
      <w:pPr>
        <w:rPr>
          <w:sz w:val="22"/>
          <w:szCs w:val="22"/>
        </w:rPr>
      </w:pPr>
      <w:r w:rsidDel="00000000" w:rsidR="00000000" w:rsidRPr="00000000">
        <w:rPr>
          <w:rtl w:val="0"/>
        </w:rPr>
      </w:r>
    </w:p>
    <w:p w:rsidR="00000000" w:rsidDel="00000000" w:rsidP="00000000" w:rsidRDefault="00000000" w:rsidRPr="00000000" w14:paraId="00000103">
      <w:pPr>
        <w:rPr>
          <w:sz w:val="22"/>
          <w:szCs w:val="22"/>
        </w:rPr>
      </w:pPr>
      <w:r w:rsidDel="00000000" w:rsidR="00000000" w:rsidRPr="00000000">
        <w:rPr>
          <w:sz w:val="22"/>
          <w:szCs w:val="22"/>
          <w:rtl w:val="0"/>
        </w:rPr>
        <w:t xml:space="preserve">Informația ecologică</w:t>
      </w:r>
    </w:p>
    <w:tbl>
      <w:tblPr>
        <w:tblStyle w:val="Table10"/>
        <w:tblW w:w="8955.0" w:type="dxa"/>
        <w:jc w:val="left"/>
        <w:tblInd w:w="10.0" w:type="dxa"/>
        <w:tblLayout w:type="fixed"/>
        <w:tblLook w:val="0400"/>
      </w:tblPr>
      <w:tblGrid>
        <w:gridCol w:w="2370"/>
        <w:gridCol w:w="6585"/>
        <w:tblGridChange w:id="0">
          <w:tblGrid>
            <w:gridCol w:w="2370"/>
            <w:gridCol w:w="65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0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br w:type="textWrapping"/>
              <w:t xml:space="preserve">9410 Păduri acidofile de molid (Picea) din etajul montan până în cel alpin (Vaccinio-Piceetea) </w:t>
            </w:r>
          </w:p>
          <w:p w:rsidR="00000000" w:rsidDel="00000000" w:rsidP="00000000" w:rsidRDefault="00000000" w:rsidRPr="00000000" w14:paraId="00000109">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1352* Canis lupus</w:t>
              <w:br w:type="textWrapping"/>
              <w:t xml:space="preserve">1327 Eptesicus serotinus</w:t>
              <w:br w:type="textWrapping"/>
              <w:t xml:space="preserve">1361 Lynx lynx</w:t>
              <w:br w:type="textWrapping"/>
              <w:t xml:space="preserve">1324 Myotis myotis</w:t>
              <w:br w:type="textWrapping"/>
              <w:t xml:space="preserve">1330 Myotis mystacinus</w:t>
              <w:br w:type="textWrapping"/>
              <w:t xml:space="preserve">1354* Ursus arctos</w:t>
            </w:r>
          </w:p>
          <w:p w:rsidR="00000000" w:rsidDel="00000000" w:rsidP="00000000" w:rsidRDefault="00000000" w:rsidRPr="00000000" w14:paraId="0000010D">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1087* Rosalia alpina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jc w:val="both"/>
              <w:rPr>
                <w:b w:val="1"/>
                <w:bCs w:val="1"/>
                <w:i w:val="1"/>
                <w:iCs w:val="1"/>
                <w:sz w:val="22"/>
                <w:szCs w:val="22"/>
              </w:rPr>
            </w:pPr>
            <w:r w:rsidDel="00000000" w:rsidR="00000000" w:rsidRPr="00000000">
              <w:rPr>
                <w:b w:val="1"/>
                <w:bCs w:val="1"/>
                <w:rtl w:val="0"/>
              </w:rPr>
              <w:t xml:space="preserve">O</w:t>
            </w:r>
            <w:r w:rsidDel="00000000" w:rsidR="00000000" w:rsidRPr="00000000">
              <w:rPr>
                <w:b w:val="1"/>
                <w:bCs w:val="1"/>
                <w:sz w:val="22"/>
                <w:szCs w:val="22"/>
                <w:rtl w:val="0"/>
              </w:rPr>
              <w:t xml:space="preserve">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15">
            <w:pPr>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6">
            <w:pPr>
              <w:spacing w:after="0" w:lineRule="auto"/>
              <w:jc w:val="both"/>
              <w:rPr>
                <w:b w:val="1"/>
                <w:bCs w:val="1"/>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17">
            <w:pPr>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8">
            <w:pPr>
              <w:spacing w:after="0" w:lineRule="auto"/>
              <w:jc w:val="both"/>
              <w:rPr>
                <w:b w:val="1"/>
                <w:bCs w:val="1"/>
                <w:i w:val="1"/>
                <w:i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19">
            <w:pPr>
              <w:spacing w:after="0" w:lineRule="auto"/>
              <w:jc w:val="both"/>
              <w:rPr>
                <w:b w:val="1"/>
                <w:bCs w:val="1"/>
                <w:i w:val="1"/>
                <w:i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1A">
            <w:pPr>
              <w:spacing w:after="0" w:lineRule="auto"/>
              <w:jc w:val="both"/>
              <w:rPr>
                <w:b w:val="1"/>
                <w:bCs w:val="1"/>
                <w:i w:val="1"/>
                <w:i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1B">
            <w:pPr>
              <w:spacing w:after="0" w:lineRule="auto"/>
              <w:jc w:val="both"/>
              <w:rPr>
                <w:b w:val="1"/>
                <w:bCs w:val="1"/>
                <w:i w:val="1"/>
                <w:i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11C">
            <w:pPr>
              <w:spacing w:after="0" w:lineRule="auto"/>
              <w:jc w:val="both"/>
              <w:rPr>
                <w:b w:val="1"/>
                <w:bCs w:val="1"/>
                <w:i w:val="1"/>
                <w:i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11D">
            <w:pPr>
              <w:spacing w:after="0" w:lineRule="auto"/>
              <w:jc w:val="both"/>
              <w:rPr>
                <w:b w:val="1"/>
                <w:bCs w:val="1"/>
                <w:i w:val="1"/>
                <w:i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11E">
            <w:pPr>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F">
            <w:pPr>
              <w:spacing w:after="0" w:lineRule="auto"/>
              <w:jc w:val="both"/>
              <w:rPr>
                <w:b w:val="1"/>
                <w:bCs w:val="1"/>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20">
            <w:pPr>
              <w:spacing w:after="0" w:lineRule="auto"/>
              <w:jc w:val="both"/>
              <w:rPr>
                <w:b w:val="1"/>
                <w:bCs w:val="1"/>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21">
            <w:pPr>
              <w:spacing w:after="0" w:lineRule="auto"/>
              <w:jc w:val="both"/>
              <w:rPr>
                <w:b w:val="1"/>
                <w:bCs w:val="1"/>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22">
            <w:pPr>
              <w:spacing w:after="0" w:lineRule="auto"/>
              <w:jc w:val="both"/>
              <w:rPr>
                <w:b w:val="1"/>
                <w:bCs w:val="1"/>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23">
            <w:pPr>
              <w:spacing w:after="0" w:lineRule="auto"/>
              <w:jc w:val="both"/>
              <w:rPr>
                <w:b w:val="1"/>
                <w:bCs w:val="1"/>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24">
            <w:pPr>
              <w:spacing w:after="0" w:lineRule="auto"/>
              <w:jc w:val="both"/>
              <w:rPr>
                <w:b w:val="1"/>
                <w:bCs w:val="1"/>
                <w:i w:val="1"/>
                <w:iCs w:val="1"/>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25">
            <w:pPr>
              <w:spacing w:after="0" w:lineRule="auto"/>
              <w:jc w:val="both"/>
              <w:rPr>
                <w:b w:val="1"/>
                <w:bCs w:val="1"/>
                <w:i w:val="1"/>
                <w:iCs w:val="1"/>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26">
            <w:pPr>
              <w:spacing w:after="0" w:lineRule="auto"/>
              <w:jc w:val="both"/>
              <w:rPr>
                <w:b w:val="1"/>
                <w:bCs w:val="1"/>
                <w:i w:val="1"/>
                <w:iCs w:val="1"/>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27">
            <w:pPr>
              <w:spacing w:after="0" w:lineRule="auto"/>
              <w:jc w:val="both"/>
              <w:rPr>
                <w:b w:val="1"/>
                <w:bCs w:val="1"/>
                <w:i w:val="1"/>
                <w:iCs w:val="1"/>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28">
            <w:pPr>
              <w:spacing w:after="0" w:lineRule="auto"/>
              <w:jc w:val="both"/>
              <w:rPr>
                <w:b w:val="1"/>
                <w:bCs w:val="1"/>
                <w:i w:val="1"/>
                <w:iCs w:val="1"/>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29">
            <w:pPr>
              <w:spacing w:after="0" w:lineRule="auto"/>
              <w:jc w:val="both"/>
              <w:rPr>
                <w:b w:val="1"/>
                <w:bCs w:val="1"/>
                <w:i w:val="1"/>
                <w:iCs w:val="1"/>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2A">
            <w:pPr>
              <w:spacing w:after="0" w:lineRule="auto"/>
              <w:jc w:val="both"/>
              <w:rPr>
                <w:b w:val="1"/>
                <w:bCs w:val="1"/>
                <w:i w:val="1"/>
                <w:iCs w:val="1"/>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2B">
            <w:pPr>
              <w:spacing w:after="0" w:lineRule="auto"/>
              <w:jc w:val="both"/>
              <w:rPr>
                <w:b w:val="1"/>
                <w:bCs w:val="1"/>
                <w:i w:val="1"/>
                <w:iCs w:val="1"/>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2C">
            <w:pPr>
              <w:spacing w:after="0" w:lineRule="auto"/>
              <w:jc w:val="both"/>
              <w:rPr>
                <w:b w:val="1"/>
                <w:bCs w:val="1"/>
                <w:i w:val="1"/>
                <w:iCs w:val="1"/>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2D">
            <w:pPr>
              <w:spacing w:after="0" w:lineRule="auto"/>
              <w:jc w:val="both"/>
              <w:rPr>
                <w:b w:val="1"/>
                <w:bCs w:val="1"/>
                <w:i w:val="1"/>
                <w:iCs w:val="1"/>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2E">
            <w:pPr>
              <w:spacing w:after="0" w:lineRule="auto"/>
              <w:jc w:val="both"/>
              <w:rPr>
                <w:b w:val="1"/>
                <w:bCs w:val="1"/>
                <w:i w:val="1"/>
                <w:iCs w:val="1"/>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2F">
            <w:pPr>
              <w:spacing w:after="0" w:lineRule="auto"/>
              <w:jc w:val="both"/>
              <w:rPr>
                <w:b w:val="1"/>
                <w:bCs w:val="1"/>
                <w:i w:val="1"/>
                <w:i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2F">
            <w:pPr>
              <w:spacing w:after="0" w:lineRule="auto"/>
              <w:jc w:val="both"/>
              <w:rPr>
                <w:b w:val="1"/>
                <w:bCs w:val="1"/>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32">
      <w:pPr>
        <w:rPr>
          <w:sz w:val="22"/>
          <w:szCs w:val="22"/>
        </w:rPr>
      </w:pPr>
      <w:r w:rsidDel="00000000" w:rsidR="00000000" w:rsidRPr="00000000">
        <w:rPr>
          <w:rtl w:val="0"/>
        </w:rPr>
      </w:r>
    </w:p>
    <w:p w:rsidR="00000000" w:rsidDel="00000000" w:rsidP="00000000" w:rsidRDefault="00000000" w:rsidRPr="00000000" w14:paraId="0000013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Maria 1973. Observaţii asupra vegetaţiei şi ecologiei asociaţiei de „Poa violacea" din Munţii Ciucaş / Observationen über die Vegetation und oekologie der assoziation „Poa violacea" in Munţii Ciucaş</w:t>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Pușcaru D. , Ciucă Maria, Spirescu Ioana, Alexan M., Fișteag Gabriela 1977. La dynamique de la composition et de la structure floristique du pré Nardeto-Festucetum rubrae commutatum de la montagne Chirușca (Ciucaș) fertilisé à engrais minéraux</w:t>
      </w:r>
    </w:p>
    <w:p w:rsidR="00000000" w:rsidDel="00000000" w:rsidP="00000000" w:rsidRDefault="00000000" w:rsidRPr="00000000" w14:paraId="0000013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 1984. Flora și vegetația pajiștilor din Munții Ciucaș</w:t>
      </w:r>
    </w:p>
    <w:p w:rsidR="00000000" w:rsidDel="00000000" w:rsidP="00000000" w:rsidRDefault="00000000" w:rsidRPr="00000000" w14:paraId="0000013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 Beldie A. 1989. Flora Muntilor Ciucaș. Determinator al plantelor vasculare.</w:t>
      </w:r>
    </w:p>
    <w:p w:rsidR="00000000" w:rsidDel="00000000" w:rsidP="00000000" w:rsidRDefault="00000000" w:rsidRPr="00000000" w14:paraId="0000013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Mohan Gh. 1990. Studiul briofitelor din Munţii Ciucaşului / The study of bryophytes from Ciucaş Mountains</w:t>
      </w:r>
    </w:p>
    <w:p w:rsidR="00000000" w:rsidDel="00000000" w:rsidP="00000000" w:rsidRDefault="00000000" w:rsidRPr="00000000" w14:paraId="0000013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Rákosy László, Stănescu Carmen, Vicol Vasile 1993. Rezultatele colectărilor realizate în prima tabără entomologică SLR. Munţii Ciucaş 16-26 iulie</w:t>
      </w:r>
    </w:p>
    <w:p w:rsidR="00000000" w:rsidDel="00000000" w:rsidP="00000000" w:rsidRDefault="00000000" w:rsidRPr="00000000" w14:paraId="0000013A">
      <w:pPr>
        <w:rPr>
          <w:sz w:val="22"/>
          <w:szCs w:val="22"/>
        </w:rPr>
      </w:pPr>
      <w:r w:rsidDel="00000000" w:rsidR="00000000" w:rsidRPr="00000000">
        <w:rPr>
          <w:rtl w:val="0"/>
        </w:rPr>
      </w:r>
    </w:p>
    <w:p w:rsidR="00000000" w:rsidDel="00000000" w:rsidP="00000000" w:rsidRDefault="00000000" w:rsidRPr="00000000" w14:paraId="0000013B">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3C">
      <w:pPr>
        <w:rPr>
          <w:sz w:val="22"/>
          <w:szCs w:val="22"/>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12 februarie 2025 Ploiești.Ulterior, în cadrul procesului de consultare extins la nivel național, au avut loc consultări suplimentară online în data de 11 decembrie 2025 cu participarea factorilor interesați relevanți din județul Brașov, apoi întâlniri la Prefectura Brașov în perioada 6-18 februarie 2026. În data de 20 ianuarie 20226, a avut loc intâlnire online cu participarea factorilor interesați relevanți din județul Prahova iar în 11 februarie 2026  au avut loc consultări publice la Prefectura Prahova.</w:t>
      </w:r>
    </w:p>
    <w:p w:rsidR="00000000" w:rsidDel="00000000" w:rsidP="00000000" w:rsidRDefault="00000000" w:rsidRPr="00000000" w14:paraId="0000013E">
      <w:pPr>
        <w:rPr>
          <w:sz w:val="22"/>
          <w:szCs w:val="22"/>
        </w:rPr>
      </w:pPr>
      <w:r w:rsidDel="00000000" w:rsidR="00000000" w:rsidRPr="00000000">
        <w:rPr>
          <w:rtl w:val="0"/>
        </w:rPr>
      </w:r>
    </w:p>
    <w:p w:rsidR="00000000" w:rsidDel="00000000" w:rsidP="00000000" w:rsidRDefault="00000000" w:rsidRPr="00000000" w14:paraId="0000013F">
      <w:pPr>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40">
      <w:pPr>
        <w:spacing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1">
      <w:pPr>
        <w:spacing w:line="36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frChQoxqsvDiuJ/nyJbH9++lO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V2YUl5NUdXZXlNZ1JZM2FUUVEzeGhvTjlUZ1BLbH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